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/>
        <w:rPr>
          <w:rFonts w:ascii="Times New Roman" w:hAnsi="Times New Roman" w:eastAsia="方正仿宋_GBK" w:cs="方正仿宋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 w:cs="方正仿宋_GBK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方正小标宋_GBK"/>
          <w:b w:val="0"/>
          <w:bCs w:val="0"/>
          <w:sz w:val="44"/>
          <w:szCs w:val="44"/>
        </w:rPr>
        <w:t>云南财经职业学院2023年单独招生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方正小标宋_GBK"/>
          <w:b w:val="0"/>
          <w:bCs w:val="0"/>
          <w:sz w:val="44"/>
          <w:szCs w:val="44"/>
        </w:rPr>
        <w:t>普通高中毕业生职业适应性测试考试大纲</w:t>
      </w:r>
      <w:bookmarkEnd w:id="0"/>
    </w:p>
    <w:p>
      <w:pPr>
        <w:spacing w:line="600" w:lineRule="exact"/>
        <w:ind w:left="210" w:firstLine="640" w:firstLineChars="20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一、制定依据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为贯彻落实《国务院关于深化考试招生制度改革的实施意见》，加快推进高职院校分类考试，深化高职院校单独招生改革，特制定《云南财经职业学院2023年单独招生普通高中毕业生职业适应性测试考试大纲》。本大纲根据《云南省2023年高职院校单独考试招生办法》《云南财经职业学院2023年单独考试招生章程》的要求，面向2023年普通高中毕业生单招考试考生，以测试其综合素质和职业适应能力及学习潜力为目的而制定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二、适用对象及考试性质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（一）适用对象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本大纲适用于云南省申请报考云南财经职业学院单独招生的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统计与会计核算、电子商务、现代物流管理、网络营销与直播电商、资产评估服务与管理、财富管理、数字媒体技术、计算机应用技术共8个专业的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普通高中毕业生。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考试性质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本大纲进行的考试系选拔性考试，目的在于考察学生基本文化素质、逻辑思维能力及未来职业能力。考试采用综合素质面试的方式进行，所有专业采用同一标准测试。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三、考试形式、时间及分值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职业适应性测试成绩满分200分，采用网络远程面试的方式进行，面试时间6—8分钟。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四、适用专业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统计与会计核算、电子商务、现代物流管理、网络营销与直播电商、资产评估服务与管理、财富管理、数字媒体技术、计算机应用技术专。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五、测试目标及内容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（一）测试目标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测试包括整体形象考察、人文素养考核、专业素质测试以及个人特长展示4个方面，主要考查学生是否具备良好的人文素养、正确的职业认知、良好的逻辑思维能力以及沟通表达能力等。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（二）测试内容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通过4方面主要测试如下几个内容：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1.对学校的认知：考察学生对学校情况的了解程度及认同度。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2.理解及思维能力：能正确地理解和分析问题，抓住要点；思维严密，条理清晰，逻辑性强。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3.心理素质：乐观开朗，积极上进，有自信心；能够冷静的处理问题，具有应变能力。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4.职业认知：对所报考的专业有一定的认知，学习兴趣强，有明确的职业规划。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5.语言表达：表达准确、简洁、流畅，口齿清楚，语速适宜，能使用普通话表达。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6.仪表仪态：行为举止自然大方，衣着礼仪得体，人际沟通能力强。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7.个人特长：个人特长展示。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（三）题型结构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面试共4种题型，每种题型包括1个小题，共</w:t>
      </w:r>
      <w:r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个小题。除第1题以及第4题外，其余抽题依次作答，每题作答时间不超过2分钟。如有个人特长可另做展示，时间控制在2分钟内。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（四）分值结构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职业适应性测试考核内容及分值结构参照下表。</w:t>
      </w:r>
    </w:p>
    <w:tbl>
      <w:tblPr>
        <w:tblStyle w:val="6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076"/>
        <w:gridCol w:w="4620"/>
        <w:gridCol w:w="1240"/>
      </w:tblGrid>
      <w:tr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模块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内容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9" w:hRule="atLeast"/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整体形象考察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自我介绍并对自己作出评价。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人文素养考核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主要考核基本人文素养、社会科技等综合知识的了解和认知。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专业素质测试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主要考核学生学习及将来从事某专业所具备的潜能，包括学生对专业的了解程度、兴趣爱好、职业价值观，并对学生的逻辑思维，分析理解及解决问题的相关能力进行考核。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个人特长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主要考核学生个人特长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20分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六、补充说明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（一）本考试大纲是云南财经职业学院2023年高职单招考试命题的基本依据。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（二）本次考试不指定教材。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09636"/>
    <w:multiLevelType w:val="singleLevel"/>
    <w:tmpl w:val="FF10963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5C3648"/>
    <w:rsid w:val="BF5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</w:style>
  <w:style w:type="table" w:styleId="6">
    <w:name w:val="Table Grid"/>
    <w:basedOn w:val="5"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2023-03-19T22:33:00Z</dcterms:created>
  <dc:creator>cy</dc:creator>
  <cp:lastModifiedBy>cy</cp:lastModifiedBy>
  <dcterms:modified xsi:type="dcterms:W3CDTF">2023-03-19T22:34:36Z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