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firstLine="0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default"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方正小标宋_GBK"/>
          <w:b w:val="0"/>
          <w:bCs w:val="0"/>
          <w:sz w:val="44"/>
          <w:szCs w:val="44"/>
        </w:rPr>
        <w:t>云南财经职业学院202</w:t>
      </w: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_GBK" w:cs="方正小标宋_GBK"/>
          <w:b w:val="0"/>
          <w:bCs w:val="0"/>
          <w:sz w:val="44"/>
          <w:szCs w:val="44"/>
        </w:rPr>
        <w:t>年单独招生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ascii="Times New Roman" w:hAnsi="Times New Roman" w:eastAsia="方正小标宋_GBK" w:cs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 w:cs="方正小标宋_GBK"/>
          <w:b w:val="0"/>
          <w:bCs w:val="0"/>
          <w:sz w:val="44"/>
          <w:szCs w:val="44"/>
        </w:rPr>
        <w:t>普通高中毕业生职业适应性测试考试大纲</w:t>
      </w:r>
    </w:p>
    <w:p>
      <w:pPr>
        <w:rPr>
          <w:rFonts w:hint="default"/>
          <w:sz w:val="32"/>
          <w:szCs w:val="32"/>
        </w:rPr>
      </w:pPr>
    </w:p>
    <w:p>
      <w:pPr>
        <w:spacing w:line="600" w:lineRule="exact"/>
        <w:ind w:left="210" w:firstLine="640" w:firstLineChars="20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一、制定依据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为贯彻落实《国务院关于深化考试招生制度改革的实施意见》，加快推进高职院校分类考试，深化高职院校单独招生改革，特制定《云南财经职业学院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单独招生普通高中毕业生职业适应性测试考试大纲》。本大纲根据《云南省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高职院校单独考试招生办法》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</w:rPr>
        <w:t>《云南省2024年高等职业院校免试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招生</w:t>
      </w:r>
      <w:bookmarkStart w:id="0" w:name="_GoBack"/>
      <w:bookmarkEnd w:id="0"/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办法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</w:rPr>
        <w:t>》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《云南财经职业学院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单独考试招生章程》的要求，面向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普通高中毕业生单招考试考生，以测试其综合素质和职业适应能力及学习潜力为目的而制定。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二、适用对象及考试性质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（一）适用对象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</w:rPr>
        <w:t>本大纲适用于云南省申请报考云南财经职业学院单独招生的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会计信息管理、大数据与审计、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统计与会计核算、现代物流管理、电子商务、网络营销与直播电商、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跨境电子商务、连锁经营与管理、市场营销、财税大数据应用、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资产评估服务与管理、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金融服务与管理、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财富管理、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婴幼儿托育服务与管理、健康管理、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计算机应用技术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数字媒体技术、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信息安全技术应用、大数据技术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共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个专业的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</w:rPr>
        <w:t>普通高中毕业生。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考试性质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本大纲进行的考试系选拔性考试，目的在于考察学生基本文化素质、逻辑思维能力及未来职业能力。考试采用综合素质面试的方式进行，所有专业采用同一标准测试。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三、考试形式、时间及分值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职业适应性测试成绩满分200分，采用网络远程面试的方式进行，面试时间6—8分钟。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四、适用专业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highlight w:val="none"/>
          <w:lang w:val="en-US" w:eastAsia="zh-CN"/>
        </w:rPr>
        <w:t>会计信息管理、大数据与审计、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统计与会计核算、现代物流管理、电子商务、网络营销与直播电商、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跨境电子商务、连锁经营与管理、市场营销、财税大数据应用、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资产评估服务与管理、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金融服务与管理、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财富管理、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婴幼儿托育服务与管理、健康管理、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计算机应用技术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</w:rPr>
        <w:t>数字媒体技术、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highlight w:val="none"/>
          <w:lang w:val="en-US" w:eastAsia="zh-CN"/>
        </w:rPr>
        <w:t>信息安全技术应用、大数据技术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五、测试目标及内容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（一）测试目标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测试包括整体形象考察、人文素养考核、专业素质测试以及个人特长展示4个方面，主要考查学生是否具备良好的人文素养、正确的职业认知、良好的逻辑思维能力以及沟通表达能力等。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（二）测试内容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通过4方面主要测试如下几个内容：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1.对学校的认知：考察学生对学校情况的了解程度及认同度。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2.理解及思维能力：能正确地理解和分析问题，抓住要点；思维严密，条理清晰，逻辑性强。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3.心理素质：乐观开朗，积极上进，有自信心；能够冷静的处理问题，具有应变能力。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4.职业认知：对所报考的专业有一定的认知，学习兴趣强，有明确的职业规划。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5.语言表达：表达准确、简洁、流畅，口齿清楚，语速适宜，能使用普通话表达。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6.仪表仪态：行为举止自然大方，衣着礼仪得体，人际沟通能力强。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7.个人特长：个人特长展示。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（三）题型结构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面试共4种题型，每种题型包括1个小题，共</w:t>
      </w:r>
      <w:r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个小题。除第1题以及第4题外，其余抽题依次作答，每题作答时间不超过2分钟。如有个人特长可另做展示，时间控制在2分钟内。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楷体_GBK" w:cs="方正楷体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color w:val="000000"/>
          <w:kern w:val="0"/>
          <w:sz w:val="32"/>
          <w:szCs w:val="32"/>
        </w:rPr>
        <w:t>（四）分值结构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职业适应性测试考核内容及分值结构参照下表。</w:t>
      </w:r>
    </w:p>
    <w:tbl>
      <w:tblPr>
        <w:tblStyle w:val="5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076"/>
        <w:gridCol w:w="462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模块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内容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整体形象考察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自我介绍并对自己作出评价。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人文素养考核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主要考核基本人文素养、社会科技等综合知识的了解和认知。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60分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专业素质测试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主要考核学生学习及将来从事某专业所具备的潜能，包括学生对专业的了解程度、兴趣爱好、职业价值观，并对学生的逻辑思维，分析理解及解决问题的相关能力进行考核。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2076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个人特长</w:t>
            </w:r>
          </w:p>
        </w:tc>
        <w:tc>
          <w:tcPr>
            <w:tcW w:w="4620" w:type="dxa"/>
            <w:vAlign w:val="center"/>
          </w:tcPr>
          <w:p>
            <w:pPr>
              <w:spacing w:line="600" w:lineRule="exact"/>
              <w:jc w:val="left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主要考核学生个人特长</w:t>
            </w:r>
          </w:p>
        </w:tc>
        <w:tc>
          <w:tcPr>
            <w:tcW w:w="124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20分</w:t>
            </w:r>
          </w:p>
        </w:tc>
      </w:tr>
    </w:tbl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六、补充说明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（一）本考试大纲是云南财经职业学院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2024年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高职单招考试命题的基本依据。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（二）本次考试不指定教材。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2CF8092B-A521-4166-8A47-ED6E6F0F3754}"/>
  </w:font>
  <w:font w:name="TH SarabunPSK">
    <w:panose1 w:val="020B0500040200020003"/>
    <w:charset w:val="00"/>
    <w:family w:val="swiss"/>
    <w:pitch w:val="default"/>
    <w:sig w:usb0="A100002F" w:usb1="5000205A" w:usb2="00000000" w:usb3="00000000" w:csb0="60010183" w:csb1="80000000"/>
  </w:font>
  <w:font w:name="THSarabun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59071C4-A0A3-4DCA-BBC3-4AB3DCFA8E2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C103EC4-1D38-432A-9A89-0AF0E10F3B08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F438E9E9-A8BE-4FB8-809C-028A518E1339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2A914EF5-0140-4BA0-80DB-9FFC355964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109636"/>
    <w:multiLevelType w:val="singleLevel"/>
    <w:tmpl w:val="FF10963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2U2NmJhNDc3Yzk3M2RlNTMyNjMzOGNjNDE4ZWIifQ=="/>
  </w:docVars>
  <w:rsids>
    <w:rsidRoot w:val="BF5C3648"/>
    <w:rsid w:val="17606E66"/>
    <w:rsid w:val="371D34A2"/>
    <w:rsid w:val="54684287"/>
    <w:rsid w:val="5F3B6A32"/>
    <w:rsid w:val="6BC33A2D"/>
    <w:rsid w:val="726B684E"/>
    <w:rsid w:val="747B20B5"/>
    <w:rsid w:val="BF5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2023-03-19T22:33:00Z</dcterms:created>
  <dc:creator>cy</dc:creator>
  <cp:lastModifiedBy>姜珺</cp:lastModifiedBy>
  <dcterms:modified xsi:type="dcterms:W3CDTF">2024-03-01T16:09:34Z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4012214BF9E3437683316B7917A39516_13</vt:lpwstr>
  </property>
</Properties>
</file>